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7798" w14:textId="77777777" w:rsidR="001D2994" w:rsidRPr="00687E4B" w:rsidRDefault="001D2994" w:rsidP="002F4023">
      <w:pPr>
        <w:pStyle w:val="Normlnweb"/>
        <w:spacing w:before="0" w:beforeAutospacing="0" w:after="120" w:afterAutospacing="0"/>
        <w:jc w:val="both"/>
        <w:rPr>
          <w:rStyle w:val="Siln"/>
          <w:rFonts w:ascii="Verdana" w:hAnsi="Verdana" w:cstheme="minorHAnsi"/>
          <w:color w:val="0000FF"/>
          <w:sz w:val="16"/>
          <w:szCs w:val="16"/>
        </w:rPr>
      </w:pPr>
      <w:r w:rsidRPr="00687E4B">
        <w:rPr>
          <w:rStyle w:val="Siln"/>
          <w:rFonts w:ascii="Verdana" w:hAnsi="Verdana" w:cstheme="minorHAnsi"/>
          <w:color w:val="0000FF"/>
          <w:sz w:val="16"/>
          <w:szCs w:val="16"/>
        </w:rPr>
        <w:t>Závěr:</w:t>
      </w:r>
    </w:p>
    <w:p w14:paraId="2F0E5EED" w14:textId="45E38163" w:rsidR="00661C77" w:rsidRPr="00687E4B" w:rsidRDefault="00661C77" w:rsidP="00661C77">
      <w:pPr>
        <w:spacing w:after="120"/>
        <w:jc w:val="both"/>
        <w:rPr>
          <w:rFonts w:ascii="Verdana" w:hAnsi="Verdana" w:cstheme="minorHAnsi"/>
          <w:sz w:val="16"/>
          <w:szCs w:val="16"/>
          <w:u w:val="single"/>
        </w:rPr>
      </w:pPr>
      <w:r w:rsidRPr="00687E4B">
        <w:rPr>
          <w:rFonts w:ascii="Verdana" w:hAnsi="Verdana" w:cstheme="minorHAnsi"/>
          <w:sz w:val="16"/>
          <w:szCs w:val="16"/>
        </w:rPr>
        <w:t xml:space="preserve">Geneticky výrazně snížená </w:t>
      </w:r>
      <w:proofErr w:type="spellStart"/>
      <w:r w:rsidRPr="00687E4B">
        <w:rPr>
          <w:rFonts w:ascii="Verdana" w:hAnsi="Verdana" w:cstheme="minorHAnsi"/>
          <w:sz w:val="16"/>
          <w:szCs w:val="16"/>
        </w:rPr>
        <w:t>metabolizace</w:t>
      </w:r>
      <w:proofErr w:type="spellEnd"/>
      <w:r w:rsidRPr="00687E4B">
        <w:rPr>
          <w:rFonts w:ascii="Verdana" w:hAnsi="Verdana" w:cstheme="minorHAnsi"/>
          <w:sz w:val="16"/>
          <w:szCs w:val="16"/>
        </w:rPr>
        <w:t xml:space="preserve"> léčiv. </w:t>
      </w:r>
      <w:r w:rsidRPr="00687E4B">
        <w:rPr>
          <w:rFonts w:ascii="Verdana" w:hAnsi="Verdana" w:cstheme="minorHAnsi"/>
          <w:sz w:val="16"/>
          <w:szCs w:val="16"/>
          <w:u w:val="single"/>
        </w:rPr>
        <w:t>Riziko nežádoucích účinků některých léčiv je zvýšené.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1"/>
        <w:gridCol w:w="2690"/>
        <w:gridCol w:w="2691"/>
      </w:tblGrid>
      <w:tr w:rsidR="00687E4B" w14:paraId="15DD787C" w14:textId="77777777" w:rsidTr="00687E4B"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C0A105" w14:textId="77777777" w:rsidR="00687E4B" w:rsidRDefault="00687E4B" w:rsidP="00687E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111AC" w14:textId="310CF646" w:rsidR="00687E4B" w:rsidRDefault="00687E4B" w:rsidP="00687E4B">
            <w:pPr>
              <w:pStyle w:val="Normlnweb"/>
              <w:spacing w:before="0" w:beforeAutospacing="0" w:after="0" w:afterAutospacing="0"/>
              <w:jc w:val="both"/>
              <w:rPr>
                <w:rStyle w:val="Siln"/>
                <w:rFonts w:ascii="Verdana" w:hAnsi="Verdana" w:cstheme="minorHAnsi"/>
                <w:sz w:val="16"/>
                <w:szCs w:val="16"/>
                <w:lang w:eastAsia="en-US"/>
              </w:rPr>
            </w:pPr>
            <w:r w:rsidRPr="00687E4B">
              <w:rPr>
                <w:rStyle w:val="Siln"/>
                <w:rFonts w:ascii="Verdana" w:hAnsi="Verdana" w:cstheme="minorHAnsi"/>
                <w:sz w:val="16"/>
                <w:szCs w:val="16"/>
              </w:rPr>
              <w:t xml:space="preserve">CYP2D6 </w:t>
            </w:r>
          </w:p>
        </w:tc>
        <w:tc>
          <w:tcPr>
            <w:tcW w:w="2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C2508A" w14:textId="0B135025" w:rsidR="00687E4B" w:rsidRDefault="00687E4B" w:rsidP="00687E4B">
            <w:pPr>
              <w:jc w:val="both"/>
              <w:rPr>
                <w:rStyle w:val="Siln"/>
                <w:rFonts w:ascii="Verdana" w:hAnsi="Verdana" w:cstheme="minorHAnsi"/>
                <w:sz w:val="16"/>
                <w:szCs w:val="16"/>
              </w:rPr>
            </w:pPr>
            <w:r w:rsidRPr="00687E4B">
              <w:rPr>
                <w:rStyle w:val="Siln"/>
                <w:rFonts w:ascii="Verdana" w:hAnsi="Verdana" w:cstheme="minorHAnsi"/>
                <w:color w:val="FF0000"/>
                <w:sz w:val="16"/>
                <w:szCs w:val="16"/>
              </w:rPr>
              <w:t>CYP2C19</w:t>
            </w:r>
          </w:p>
        </w:tc>
      </w:tr>
      <w:tr w:rsidR="00687E4B" w14:paraId="64340E08" w14:textId="77777777" w:rsidTr="00687E4B"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C63F833" w14:textId="77777777" w:rsidR="00687E4B" w:rsidRDefault="00687E4B" w:rsidP="00687E4B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  <w:t>Aktivita izoenzymu</w:t>
            </w:r>
          </w:p>
        </w:tc>
        <w:tc>
          <w:tcPr>
            <w:tcW w:w="26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040CC9" w14:textId="5950A289" w:rsidR="00687E4B" w:rsidRDefault="00687E4B" w:rsidP="00687E4B">
            <w:pPr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</w:pPr>
            <w:r w:rsidRPr="00687E4B"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normální </w:t>
            </w:r>
          </w:p>
        </w:tc>
        <w:tc>
          <w:tcPr>
            <w:tcW w:w="2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CABAEB" w14:textId="7EF64553" w:rsidR="00687E4B" w:rsidRDefault="00687E4B" w:rsidP="00687E4B">
            <w:pPr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</w:pPr>
            <w:r w:rsidRPr="00687E4B">
              <w:rPr>
                <w:rStyle w:val="Siln"/>
                <w:rFonts w:ascii="Verdana" w:hAnsi="Verdana"/>
                <w:b w:val="0"/>
                <w:bCs w:val="0"/>
                <w:color w:val="FF0000"/>
                <w:sz w:val="16"/>
                <w:szCs w:val="16"/>
              </w:rPr>
              <w:t>nulová</w:t>
            </w:r>
          </w:p>
        </w:tc>
      </w:tr>
      <w:tr w:rsidR="00687E4B" w14:paraId="08298C52" w14:textId="77777777" w:rsidTr="00687E4B"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C0B32A1" w14:textId="77777777" w:rsidR="00687E4B" w:rsidRDefault="00687E4B" w:rsidP="00687E4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Rychlost </w:t>
            </w:r>
            <w:proofErr w:type="spellStart"/>
            <w:r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  <w:t>metabolizace</w:t>
            </w:r>
            <w:proofErr w:type="spellEnd"/>
            <w:r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 léků</w:t>
            </w:r>
          </w:p>
        </w:tc>
        <w:tc>
          <w:tcPr>
            <w:tcW w:w="26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2DB568" w14:textId="05784A13" w:rsidR="00687E4B" w:rsidRDefault="00687E4B" w:rsidP="00687E4B">
            <w:pPr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</w:pPr>
            <w:r w:rsidRPr="00687E4B"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  <w:t>extenzivní metabolizátor</w:t>
            </w:r>
          </w:p>
        </w:tc>
        <w:tc>
          <w:tcPr>
            <w:tcW w:w="2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BE2348" w14:textId="48CE6F99" w:rsidR="00687E4B" w:rsidRDefault="00687E4B" w:rsidP="00687E4B">
            <w:pPr>
              <w:rPr>
                <w:rStyle w:val="Siln"/>
                <w:rFonts w:ascii="Verdana" w:hAnsi="Verdana" w:cstheme="minorHAnsi"/>
                <w:b w:val="0"/>
                <w:bCs w:val="0"/>
                <w:sz w:val="16"/>
                <w:szCs w:val="16"/>
              </w:rPr>
            </w:pPr>
            <w:r w:rsidRPr="00687E4B">
              <w:rPr>
                <w:rStyle w:val="Siln"/>
                <w:rFonts w:ascii="Verdana" w:hAnsi="Verdana" w:cstheme="minorHAnsi"/>
                <w:b w:val="0"/>
                <w:bCs w:val="0"/>
                <w:color w:val="FF0000"/>
                <w:sz w:val="16"/>
                <w:szCs w:val="16"/>
              </w:rPr>
              <w:t>p</w:t>
            </w:r>
            <w:r w:rsidRPr="00687E4B">
              <w:rPr>
                <w:rStyle w:val="Siln"/>
                <w:rFonts w:ascii="Verdana" w:hAnsi="Verdana"/>
                <w:b w:val="0"/>
                <w:bCs w:val="0"/>
                <w:color w:val="FF0000"/>
                <w:sz w:val="16"/>
                <w:szCs w:val="16"/>
              </w:rPr>
              <w:t>omalý</w:t>
            </w:r>
            <w:r w:rsidRPr="00687E4B">
              <w:rPr>
                <w:rStyle w:val="Siln"/>
                <w:rFonts w:ascii="Verdana" w:hAnsi="Verdana" w:cstheme="minorHAnsi"/>
                <w:b w:val="0"/>
                <w:bCs w:val="0"/>
                <w:color w:val="FF0000"/>
                <w:sz w:val="16"/>
                <w:szCs w:val="16"/>
              </w:rPr>
              <w:t xml:space="preserve"> metabolizátor</w:t>
            </w:r>
          </w:p>
        </w:tc>
      </w:tr>
      <w:tr w:rsidR="00687E4B" w14:paraId="560E2BC5" w14:textId="77777777" w:rsidTr="00687E4B"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CF8DFDC" w14:textId="77777777" w:rsidR="00687E4B" w:rsidRDefault="00687E4B" w:rsidP="00687E4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 xml:space="preserve">čekávané </w:t>
            </w:r>
            <w:r>
              <w:rPr>
                <w:rFonts w:ascii="Verdana" w:hAnsi="Verdana" w:cstheme="minorHAnsi"/>
                <w:sz w:val="16"/>
                <w:szCs w:val="16"/>
              </w:rPr>
              <w:t>hladiny léků metabolizovaných příslušným izoenzymem</w:t>
            </w:r>
          </w:p>
        </w:tc>
        <w:tc>
          <w:tcPr>
            <w:tcW w:w="26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96061F" w14:textId="72BE6862" w:rsidR="00687E4B" w:rsidRDefault="00687E4B" w:rsidP="00687E4B">
            <w:pPr>
              <w:rPr>
                <w:rFonts w:ascii="Verdana" w:hAnsi="Verdana" w:cstheme="minorHAnsi"/>
                <w:sz w:val="16"/>
                <w:szCs w:val="16"/>
              </w:rPr>
            </w:pPr>
            <w:r w:rsidRPr="00687E4B">
              <w:rPr>
                <w:rFonts w:ascii="Verdana" w:hAnsi="Verdana" w:cstheme="minorHAnsi"/>
                <w:sz w:val="16"/>
                <w:szCs w:val="16"/>
              </w:rPr>
              <w:t>normální, dostatečné</w:t>
            </w:r>
          </w:p>
        </w:tc>
        <w:tc>
          <w:tcPr>
            <w:tcW w:w="2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9FEB4" w14:textId="329C1088" w:rsidR="00687E4B" w:rsidRDefault="00687E4B" w:rsidP="00687E4B">
            <w:pPr>
              <w:rPr>
                <w:rFonts w:ascii="Verdana" w:hAnsi="Verdana" w:cstheme="minorHAnsi"/>
                <w:sz w:val="16"/>
                <w:szCs w:val="16"/>
              </w:rPr>
            </w:pPr>
            <w:r w:rsidRPr="00687E4B">
              <w:rPr>
                <w:rFonts w:ascii="Verdana" w:hAnsi="Verdana" w:cstheme="minorHAnsi"/>
                <w:color w:val="FF0000"/>
                <w:sz w:val="16"/>
                <w:szCs w:val="16"/>
              </w:rPr>
              <w:t>zvýšené i 5x</w:t>
            </w:r>
          </w:p>
        </w:tc>
      </w:tr>
    </w:tbl>
    <w:p w14:paraId="301D8DA1" w14:textId="77777777" w:rsidR="00687E4B" w:rsidRDefault="00687E4B" w:rsidP="002F4023">
      <w:pPr>
        <w:pStyle w:val="Normlnweb"/>
        <w:spacing w:before="0" w:beforeAutospacing="0" w:after="120" w:afterAutospacing="0"/>
        <w:rPr>
          <w:rFonts w:ascii="Verdana" w:hAnsi="Verdana" w:cstheme="minorHAnsi"/>
          <w:b/>
          <w:bCs/>
          <w:color w:val="0000FF"/>
          <w:sz w:val="16"/>
          <w:szCs w:val="16"/>
        </w:rPr>
      </w:pPr>
      <w:r w:rsidRPr="00687E4B">
        <w:rPr>
          <w:rFonts w:ascii="Verdana" w:hAnsi="Verdana" w:cstheme="minorHAnsi"/>
          <w:b/>
          <w:bCs/>
          <w:color w:val="0000FF"/>
          <w:sz w:val="16"/>
          <w:szCs w:val="16"/>
        </w:rPr>
        <w:t xml:space="preserve"> </w:t>
      </w:r>
    </w:p>
    <w:p w14:paraId="737FFFC2" w14:textId="62AA08B9" w:rsidR="002F4023" w:rsidRPr="00687E4B" w:rsidRDefault="002F4023" w:rsidP="002F4023">
      <w:pPr>
        <w:pStyle w:val="Normlnweb"/>
        <w:spacing w:before="0" w:beforeAutospacing="0" w:after="120" w:afterAutospacing="0"/>
        <w:rPr>
          <w:rFonts w:ascii="Verdana" w:hAnsi="Verdana" w:cstheme="minorHAnsi"/>
          <w:b/>
          <w:bCs/>
          <w:color w:val="0000FF"/>
          <w:sz w:val="16"/>
          <w:szCs w:val="16"/>
        </w:rPr>
      </w:pPr>
      <w:r w:rsidRPr="00687E4B">
        <w:rPr>
          <w:rFonts w:ascii="Verdana" w:hAnsi="Verdana" w:cstheme="minorHAnsi"/>
          <w:b/>
          <w:bCs/>
          <w:color w:val="0000FF"/>
          <w:sz w:val="16"/>
          <w:szCs w:val="16"/>
        </w:rPr>
        <w:t>Doporučení:</w:t>
      </w:r>
    </w:p>
    <w:p w14:paraId="54E8E8C8" w14:textId="585B8E21" w:rsidR="00661C77" w:rsidRDefault="00661C77" w:rsidP="00661C77">
      <w:pPr>
        <w:pStyle w:val="Normlnweb"/>
        <w:spacing w:before="0" w:beforeAutospacing="0" w:after="120" w:afterAutospacing="0"/>
        <w:jc w:val="both"/>
        <w:rPr>
          <w:rFonts w:ascii="Verdana" w:hAnsi="Verdana" w:cstheme="minorHAnsi"/>
          <w:sz w:val="16"/>
          <w:szCs w:val="16"/>
        </w:rPr>
      </w:pPr>
      <w:r w:rsidRPr="00687E4B">
        <w:rPr>
          <w:rFonts w:ascii="Verdana" w:hAnsi="Verdana" w:cstheme="minorHAnsi"/>
          <w:sz w:val="16"/>
          <w:szCs w:val="16"/>
        </w:rPr>
        <w:t xml:space="preserve">Osobám s tímto genotypem je někdy </w:t>
      </w:r>
      <w:r w:rsidRPr="00687E4B">
        <w:rPr>
          <w:rFonts w:ascii="Verdana" w:hAnsi="Verdana" w:cstheme="minorHAnsi"/>
          <w:sz w:val="16"/>
          <w:szCs w:val="16"/>
          <w:u w:val="single"/>
        </w:rPr>
        <w:t>doporučeno zvolit alternativní léky</w:t>
      </w:r>
      <w:r w:rsidRPr="00687E4B">
        <w:rPr>
          <w:rFonts w:ascii="Verdana" w:hAnsi="Verdana" w:cstheme="minorHAnsi"/>
          <w:sz w:val="16"/>
          <w:szCs w:val="16"/>
        </w:rPr>
        <w:t xml:space="preserve">, které nejsou metabolizovány izoenzymem CYP2C19. Případně </w:t>
      </w:r>
      <w:r w:rsidRPr="00687E4B">
        <w:rPr>
          <w:rFonts w:ascii="Verdana" w:hAnsi="Verdana" w:cstheme="minorHAnsi"/>
          <w:sz w:val="16"/>
          <w:szCs w:val="16"/>
          <w:u w:val="single"/>
        </w:rPr>
        <w:t>začít na 50 % standardní dávky</w:t>
      </w:r>
      <w:r w:rsidRPr="00687E4B">
        <w:rPr>
          <w:rFonts w:ascii="Verdana" w:hAnsi="Verdana" w:cstheme="minorHAnsi"/>
          <w:sz w:val="16"/>
          <w:szCs w:val="16"/>
        </w:rPr>
        <w:t xml:space="preserve"> a důsledně sledovat výskyt nežádoucích účinků. Zde se přístup </w:t>
      </w:r>
      <w:proofErr w:type="gramStart"/>
      <w:r w:rsidRPr="00687E4B">
        <w:rPr>
          <w:rFonts w:ascii="Verdana" w:hAnsi="Verdana" w:cstheme="minorHAnsi"/>
          <w:sz w:val="16"/>
          <w:szCs w:val="16"/>
        </w:rPr>
        <w:t>liší</w:t>
      </w:r>
      <w:proofErr w:type="gramEnd"/>
      <w:r w:rsidRPr="00687E4B">
        <w:rPr>
          <w:rFonts w:ascii="Verdana" w:hAnsi="Verdana" w:cstheme="minorHAnsi"/>
          <w:sz w:val="16"/>
          <w:szCs w:val="16"/>
        </w:rPr>
        <w:t xml:space="preserve"> u konkrétního léku. </w:t>
      </w:r>
    </w:p>
    <w:p w14:paraId="7FB165D9" w14:textId="257480C4" w:rsidR="003F0E06" w:rsidRDefault="003F0E06" w:rsidP="003F0E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Jiné, než uvedené léky by ovlivněny být neměly. Podrobné seznamy léků a informace naleznete v přiložené tabulce a </w:t>
      </w:r>
      <w:r w:rsidRPr="00D518EA">
        <w:rPr>
          <w:rFonts w:ascii="Verdana" w:hAnsi="Verdana"/>
          <w:sz w:val="16"/>
          <w:szCs w:val="16"/>
        </w:rPr>
        <w:t xml:space="preserve">na </w:t>
      </w:r>
      <w:bookmarkStart w:id="0" w:name="_Hlk109123305"/>
      <w:r w:rsidRPr="00D518EA">
        <w:rPr>
          <w:rFonts w:ascii="Verdana" w:hAnsi="Verdana"/>
          <w:sz w:val="16"/>
          <w:szCs w:val="16"/>
        </w:rPr>
        <w:t>ghcgenetics.cz/farmakogenetika</w:t>
      </w:r>
      <w:r>
        <w:rPr>
          <w:rFonts w:ascii="Verdana" w:hAnsi="Verdana"/>
          <w:sz w:val="16"/>
          <w:szCs w:val="16"/>
        </w:rPr>
        <w:t>.</w:t>
      </w:r>
      <w:bookmarkEnd w:id="0"/>
    </w:p>
    <w:p w14:paraId="6F9582D6" w14:textId="77777777" w:rsidR="003F0E06" w:rsidRPr="0007531A" w:rsidRDefault="003F0E06" w:rsidP="003F0E06">
      <w:pPr>
        <w:rPr>
          <w:rFonts w:ascii="Verdana" w:hAnsi="Verdana"/>
          <w:b/>
          <w:bCs/>
          <w:sz w:val="16"/>
          <w:szCs w:val="16"/>
        </w:rPr>
      </w:pPr>
      <w:bookmarkStart w:id="1" w:name="_Hlk109121337"/>
      <w:bookmarkStart w:id="2" w:name="_Hlk97878981"/>
      <w:r>
        <w:rPr>
          <w:rFonts w:ascii="Verdana" w:hAnsi="Verdana"/>
          <w:b/>
          <w:bCs/>
          <w:sz w:val="16"/>
          <w:szCs w:val="16"/>
        </w:rPr>
        <w:t>Léky v p</w:t>
      </w:r>
      <w:r w:rsidRPr="0007531A">
        <w:rPr>
          <w:rFonts w:ascii="Verdana" w:hAnsi="Verdana"/>
          <w:b/>
          <w:bCs/>
          <w:sz w:val="16"/>
          <w:szCs w:val="16"/>
        </w:rPr>
        <w:t>sychiatri</w:t>
      </w:r>
      <w:r>
        <w:rPr>
          <w:rFonts w:ascii="Verdana" w:hAnsi="Verdana"/>
          <w:b/>
          <w:bCs/>
          <w:sz w:val="16"/>
          <w:szCs w:val="16"/>
        </w:rPr>
        <w:t>i</w:t>
      </w:r>
      <w:r w:rsidRPr="0007531A">
        <w:rPr>
          <w:rFonts w:ascii="Verdana" w:hAnsi="Verdana"/>
          <w:b/>
          <w:bCs/>
          <w:sz w:val="16"/>
          <w:szCs w:val="16"/>
        </w:rPr>
        <w:t xml:space="preserve"> a neurologi</w:t>
      </w:r>
      <w:r>
        <w:rPr>
          <w:rFonts w:ascii="Verdana" w:hAnsi="Verdana"/>
          <w:b/>
          <w:bCs/>
          <w:sz w:val="16"/>
          <w:szCs w:val="16"/>
        </w:rPr>
        <w:t>i</w:t>
      </w:r>
    </w:p>
    <w:p w14:paraId="55C940DB" w14:textId="145FD13D" w:rsidR="003F0E06" w:rsidRPr="00F070F4" w:rsidRDefault="003F0E06" w:rsidP="003F0E06">
      <w:pPr>
        <w:pStyle w:val="Normlnweb"/>
        <w:spacing w:before="0" w:beforeAutospacing="0" w:after="120" w:afterAutospacing="0"/>
        <w:jc w:val="both"/>
        <w:rPr>
          <w:rFonts w:ascii="Verdana" w:hAnsi="Verdana" w:cstheme="minorHAnsi"/>
          <w:sz w:val="16"/>
          <w:szCs w:val="16"/>
          <w:u w:val="single"/>
        </w:rPr>
      </w:pPr>
      <w:r w:rsidRPr="00CD21E4">
        <w:rPr>
          <w:rFonts w:ascii="Verdana" w:hAnsi="Verdana" w:cstheme="minorHAnsi"/>
          <w:sz w:val="16"/>
          <w:szCs w:val="16"/>
          <w:u w:val="single"/>
        </w:rPr>
        <w:t xml:space="preserve">Odbourávání léků </w:t>
      </w:r>
      <w:r w:rsidR="00840133">
        <w:rPr>
          <w:rFonts w:ascii="Verdana" w:hAnsi="Verdana" w:cstheme="minorHAnsi"/>
          <w:sz w:val="16"/>
          <w:szCs w:val="16"/>
          <w:u w:val="single"/>
        </w:rPr>
        <w:t>výrazně</w:t>
      </w:r>
      <w:r w:rsidRPr="00CD21E4">
        <w:rPr>
          <w:rFonts w:ascii="Verdana" w:hAnsi="Verdana" w:cstheme="minorHAnsi"/>
          <w:sz w:val="16"/>
          <w:szCs w:val="16"/>
          <w:u w:val="single"/>
        </w:rPr>
        <w:t xml:space="preserve"> zpomaleno:</w:t>
      </w:r>
      <w:bookmarkEnd w:id="1"/>
      <w:r>
        <w:rPr>
          <w:rFonts w:ascii="Verdana" w:hAnsi="Verdana" w:cstheme="minorHAnsi"/>
          <w:sz w:val="16"/>
          <w:szCs w:val="16"/>
          <w:u w:val="single"/>
        </w:rPr>
        <w:t xml:space="preserve"> 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citalopram</w:t>
      </w:r>
      <w:proofErr w:type="spellEnd"/>
      <w:r w:rsidRPr="00F070F4">
        <w:rPr>
          <w:rFonts w:ascii="Verdana" w:hAnsi="Verdana" w:cstheme="minorHAnsi"/>
          <w:sz w:val="16"/>
          <w:szCs w:val="16"/>
        </w:rPr>
        <w:t xml:space="preserve"> (5</w:t>
      </w:r>
      <w:r>
        <w:rPr>
          <w:rFonts w:ascii="Verdana" w:hAnsi="Verdana" w:cstheme="minorHAnsi"/>
          <w:sz w:val="16"/>
          <w:szCs w:val="16"/>
        </w:rPr>
        <w:t>0</w:t>
      </w:r>
      <w:r w:rsidRPr="00F070F4">
        <w:rPr>
          <w:rFonts w:ascii="Verdana" w:hAnsi="Verdana" w:cstheme="minorHAnsi"/>
          <w:sz w:val="16"/>
          <w:szCs w:val="16"/>
        </w:rPr>
        <w:t xml:space="preserve"> </w:t>
      </w:r>
      <w:proofErr w:type="gramStart"/>
      <w:r w:rsidRPr="00F070F4">
        <w:rPr>
          <w:rFonts w:ascii="Verdana" w:hAnsi="Verdana" w:cstheme="minorHAnsi"/>
          <w:sz w:val="16"/>
          <w:szCs w:val="16"/>
        </w:rPr>
        <w:t>%)*</w:t>
      </w:r>
      <w:proofErr w:type="gramEnd"/>
      <w:r w:rsidRPr="00F070F4">
        <w:rPr>
          <w:rFonts w:ascii="Verdana" w:hAnsi="Verdana" w:cstheme="minorHAnsi"/>
          <w:sz w:val="16"/>
          <w:szCs w:val="16"/>
        </w:rPr>
        <w:t>,</w:t>
      </w:r>
      <w:r>
        <w:rPr>
          <w:rFonts w:ascii="Verdana" w:hAnsi="Verdana" w:cstheme="minorHAnsi"/>
          <w:sz w:val="16"/>
          <w:szCs w:val="16"/>
        </w:rPr>
        <w:t xml:space="preserve"> diazepam,</w:t>
      </w:r>
      <w:r w:rsidRPr="00F070F4">
        <w:rPr>
          <w:rFonts w:ascii="Verdana" w:hAnsi="Verdana" w:cstheme="minorHAnsi"/>
          <w:sz w:val="16"/>
          <w:szCs w:val="16"/>
        </w:rPr>
        <w:t xml:space="preserve"> 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escitalopram</w:t>
      </w:r>
      <w:proofErr w:type="spellEnd"/>
      <w:r w:rsidRPr="00F070F4">
        <w:rPr>
          <w:rFonts w:ascii="Verdana" w:hAnsi="Verdana" w:cstheme="minorHAnsi"/>
          <w:sz w:val="16"/>
          <w:szCs w:val="16"/>
        </w:rPr>
        <w:t xml:space="preserve"> (5</w:t>
      </w:r>
      <w:r>
        <w:rPr>
          <w:rFonts w:ascii="Verdana" w:hAnsi="Verdana" w:cstheme="minorHAnsi"/>
          <w:sz w:val="16"/>
          <w:szCs w:val="16"/>
        </w:rPr>
        <w:t>0</w:t>
      </w:r>
      <w:r w:rsidRPr="00F070F4">
        <w:rPr>
          <w:rFonts w:ascii="Verdana" w:hAnsi="Verdana" w:cstheme="minorHAnsi"/>
          <w:sz w:val="16"/>
          <w:szCs w:val="16"/>
        </w:rPr>
        <w:t xml:space="preserve"> %)*, </w:t>
      </w:r>
      <w:r w:rsidRPr="00F070F4">
        <w:rPr>
          <w:rFonts w:ascii="Verdana" w:hAnsi="Verdana" w:cs="Calibri"/>
          <w:sz w:val="16"/>
          <w:szCs w:val="16"/>
        </w:rPr>
        <w:t>fenobarbital,</w:t>
      </w:r>
      <w:r w:rsidRPr="00F070F4">
        <w:rPr>
          <w:rFonts w:ascii="Verdana" w:hAnsi="Verdana" w:cstheme="minorHAnsi"/>
          <w:sz w:val="16"/>
          <w:szCs w:val="16"/>
        </w:rPr>
        <w:t xml:space="preserve"> fluoxetin, </w:t>
      </w:r>
      <w:proofErr w:type="spellStart"/>
      <w:r w:rsidRPr="00F070F4">
        <w:rPr>
          <w:rFonts w:ascii="Verdana" w:hAnsi="Verdana" w:cs="Calibri"/>
          <w:sz w:val="16"/>
          <w:szCs w:val="16"/>
        </w:rPr>
        <w:t>kanabidiol</w:t>
      </w:r>
      <w:proofErr w:type="spellEnd"/>
      <w:r w:rsidRPr="00F070F4">
        <w:rPr>
          <w:rFonts w:ascii="Verdana" w:hAnsi="Verdana" w:cs="Calibri"/>
          <w:sz w:val="16"/>
          <w:szCs w:val="16"/>
        </w:rPr>
        <w:t>,</w:t>
      </w:r>
      <w:r w:rsidRPr="00F070F4">
        <w:rPr>
          <w:rFonts w:ascii="Verdana" w:hAnsi="Verdana" w:cstheme="minorHAnsi"/>
          <w:sz w:val="16"/>
          <w:szCs w:val="16"/>
        </w:rPr>
        <w:t xml:space="preserve"> </w:t>
      </w:r>
      <w:r w:rsidRPr="00F070F4">
        <w:rPr>
          <w:rFonts w:ascii="Verdana" w:hAnsi="Verdana" w:cs="Calibri"/>
          <w:sz w:val="16"/>
          <w:szCs w:val="16"/>
        </w:rPr>
        <w:t>klobazam</w:t>
      </w:r>
      <w:r w:rsidRPr="00F070F4">
        <w:rPr>
          <w:rFonts w:ascii="Verdana" w:hAnsi="Verdana"/>
          <w:sz w:val="16"/>
          <w:szCs w:val="16"/>
        </w:rPr>
        <w:t xml:space="preserve">, </w:t>
      </w:r>
      <w:proofErr w:type="spellStart"/>
      <w:r w:rsidRPr="00F070F4">
        <w:rPr>
          <w:rFonts w:ascii="Verdana" w:hAnsi="Verdana" w:cs="Calibri"/>
          <w:sz w:val="16"/>
          <w:szCs w:val="16"/>
        </w:rPr>
        <w:t>primido</w:t>
      </w:r>
      <w:r w:rsidR="00BC7469">
        <w:rPr>
          <w:rFonts w:ascii="Verdana" w:hAnsi="Verdana" w:cs="Calibri"/>
          <w:sz w:val="16"/>
          <w:szCs w:val="16"/>
        </w:rPr>
        <w:t>n</w:t>
      </w:r>
      <w:proofErr w:type="spellEnd"/>
      <w:r w:rsidRPr="00F070F4">
        <w:rPr>
          <w:rFonts w:ascii="Verdana" w:hAnsi="Verdana" w:cs="Calibri"/>
          <w:sz w:val="16"/>
          <w:szCs w:val="16"/>
        </w:rPr>
        <w:t>,</w:t>
      </w:r>
      <w:r w:rsidRPr="00F070F4">
        <w:rPr>
          <w:rFonts w:ascii="Verdana" w:hAnsi="Verdana" w:cstheme="minorHAnsi"/>
          <w:sz w:val="16"/>
          <w:szCs w:val="16"/>
        </w:rPr>
        <w:t xml:space="preserve"> 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sertralin</w:t>
      </w:r>
      <w:proofErr w:type="spellEnd"/>
      <w:r w:rsidRPr="00F070F4">
        <w:rPr>
          <w:rFonts w:ascii="Verdana" w:hAnsi="Verdana" w:cstheme="minorHAnsi"/>
          <w:sz w:val="16"/>
          <w:szCs w:val="16"/>
        </w:rPr>
        <w:t xml:space="preserve"> (max. </w:t>
      </w:r>
      <w:r>
        <w:rPr>
          <w:rFonts w:ascii="Verdana" w:hAnsi="Verdana" w:cstheme="minorHAnsi"/>
          <w:sz w:val="16"/>
          <w:szCs w:val="16"/>
        </w:rPr>
        <w:t>5</w:t>
      </w:r>
      <w:r w:rsidRPr="00F070F4">
        <w:rPr>
          <w:rFonts w:ascii="Verdana" w:hAnsi="Verdana" w:cstheme="minorHAnsi"/>
          <w:sz w:val="16"/>
          <w:szCs w:val="16"/>
        </w:rPr>
        <w:t>0mg)*</w:t>
      </w:r>
      <w:r>
        <w:rPr>
          <w:rFonts w:ascii="Verdana" w:hAnsi="Verdana" w:cstheme="minorHAnsi"/>
          <w:sz w:val="16"/>
          <w:szCs w:val="16"/>
        </w:rPr>
        <w:t xml:space="preserve">, </w:t>
      </w:r>
      <w:proofErr w:type="spellStart"/>
      <w:r>
        <w:rPr>
          <w:rFonts w:ascii="Verdana" w:hAnsi="Verdana" w:cstheme="minorHAnsi"/>
          <w:sz w:val="16"/>
          <w:szCs w:val="16"/>
        </w:rPr>
        <w:t>venlafaxin</w:t>
      </w:r>
      <w:proofErr w:type="spellEnd"/>
      <w:r>
        <w:rPr>
          <w:rFonts w:ascii="Verdana" w:hAnsi="Verdana" w:cstheme="minorHAnsi"/>
          <w:sz w:val="16"/>
          <w:szCs w:val="16"/>
        </w:rPr>
        <w:t xml:space="preserve"> </w:t>
      </w:r>
      <w:r w:rsidRPr="00F070F4">
        <w:rPr>
          <w:rFonts w:ascii="Verdana" w:hAnsi="Verdana" w:cstheme="minorHAnsi"/>
          <w:sz w:val="16"/>
          <w:szCs w:val="16"/>
        </w:rPr>
        <w:t>(</w:t>
      </w:r>
      <w:r>
        <w:rPr>
          <w:rFonts w:ascii="Verdana" w:hAnsi="Verdana" w:cstheme="minorHAnsi"/>
          <w:sz w:val="16"/>
          <w:szCs w:val="16"/>
        </w:rPr>
        <w:t>40</w:t>
      </w:r>
      <w:r w:rsidRPr="00F070F4">
        <w:rPr>
          <w:rFonts w:ascii="Verdana" w:hAnsi="Verdana" w:cstheme="minorHAnsi"/>
          <w:sz w:val="16"/>
          <w:szCs w:val="16"/>
        </w:rPr>
        <w:t xml:space="preserve"> %)*</w:t>
      </w:r>
      <w:r>
        <w:rPr>
          <w:rFonts w:ascii="Verdana" w:hAnsi="Verdana" w:cstheme="minorHAnsi"/>
          <w:sz w:val="16"/>
          <w:szCs w:val="16"/>
        </w:rPr>
        <w:t>.</w:t>
      </w:r>
    </w:p>
    <w:p w14:paraId="5CC0B4A7" w14:textId="77777777" w:rsidR="00170C36" w:rsidRPr="005C0FCC" w:rsidRDefault="00170C36" w:rsidP="00170C36">
      <w:pPr>
        <w:spacing w:after="120"/>
        <w:rPr>
          <w:rFonts w:ascii="Verdana" w:hAnsi="Verdana" w:cstheme="minorHAnsi"/>
          <w:i/>
          <w:iCs/>
          <w:sz w:val="14"/>
          <w:szCs w:val="14"/>
        </w:rPr>
      </w:pPr>
      <w:r w:rsidRPr="005C0FCC">
        <w:rPr>
          <w:rFonts w:ascii="Verdana" w:hAnsi="Verdana" w:cstheme="minorHAnsi"/>
          <w:i/>
          <w:iCs/>
          <w:sz w:val="14"/>
          <w:szCs w:val="14"/>
        </w:rPr>
        <w:t>*</w:t>
      </w:r>
      <w:r w:rsidRPr="005C0FCC">
        <w:rPr>
          <w:rFonts w:ascii="Verdana" w:hAnsi="Verdana"/>
          <w:sz w:val="14"/>
          <w:szCs w:val="14"/>
        </w:rPr>
        <w:t xml:space="preserve"> </w:t>
      </w:r>
      <w:r w:rsidRPr="005C0FCC">
        <w:rPr>
          <w:rFonts w:ascii="Verdana" w:hAnsi="Verdana" w:cstheme="minorHAnsi"/>
          <w:i/>
          <w:iCs/>
          <w:sz w:val="14"/>
          <w:szCs w:val="14"/>
        </w:rPr>
        <w:t xml:space="preserve">návrh úpravy dávkování (v procentech běžně předepisované dávky) pro pomalé metabolizátory CYP2C19; návrhy neberou v potaz jiné faktory, jako je </w:t>
      </w:r>
      <w:proofErr w:type="spellStart"/>
      <w:r w:rsidRPr="005C0FCC">
        <w:rPr>
          <w:rFonts w:ascii="Verdana" w:hAnsi="Verdana" w:cstheme="minorHAnsi"/>
          <w:i/>
          <w:iCs/>
          <w:sz w:val="14"/>
          <w:szCs w:val="14"/>
        </w:rPr>
        <w:t>komedikace</w:t>
      </w:r>
      <w:proofErr w:type="spellEnd"/>
      <w:r w:rsidRPr="005C0FCC">
        <w:rPr>
          <w:rFonts w:ascii="Verdana" w:hAnsi="Verdana" w:cstheme="minorHAnsi"/>
          <w:i/>
          <w:iCs/>
          <w:sz w:val="14"/>
          <w:szCs w:val="14"/>
        </w:rPr>
        <w:t>, komorbidity, renální funkce, věk atd.</w:t>
      </w:r>
    </w:p>
    <w:p w14:paraId="2D1ABC82" w14:textId="51A693CB" w:rsidR="0029330F" w:rsidRPr="00D518EA" w:rsidRDefault="0029330F" w:rsidP="0029330F">
      <w:pPr>
        <w:rPr>
          <w:rFonts w:ascii="Verdana" w:hAnsi="Verdana" w:cstheme="minorHAnsi"/>
          <w:sz w:val="16"/>
          <w:szCs w:val="16"/>
        </w:rPr>
      </w:pPr>
      <w:r w:rsidRPr="00CD21E4">
        <w:rPr>
          <w:rFonts w:ascii="Verdana" w:hAnsi="Verdana" w:cstheme="minorHAnsi"/>
          <w:sz w:val="16"/>
          <w:szCs w:val="16"/>
          <w:u w:val="single"/>
        </w:rPr>
        <w:t xml:space="preserve">Odbourávání léků </w:t>
      </w:r>
      <w:r w:rsidR="00A224BA">
        <w:rPr>
          <w:rFonts w:ascii="Verdana" w:hAnsi="Verdana" w:cstheme="minorHAnsi"/>
          <w:sz w:val="16"/>
          <w:szCs w:val="16"/>
          <w:u w:val="single"/>
        </w:rPr>
        <w:t>výrazně</w:t>
      </w:r>
      <w:r w:rsidR="00A224BA" w:rsidRPr="00CD21E4">
        <w:rPr>
          <w:rFonts w:ascii="Verdana" w:hAnsi="Verdana" w:cstheme="minorHAnsi"/>
          <w:sz w:val="16"/>
          <w:szCs w:val="16"/>
          <w:u w:val="single"/>
        </w:rPr>
        <w:t xml:space="preserve"> zpomaleno</w:t>
      </w:r>
      <w:r>
        <w:rPr>
          <w:rFonts w:ascii="Verdana" w:hAnsi="Verdana" w:cstheme="minorHAnsi"/>
          <w:sz w:val="16"/>
          <w:szCs w:val="16"/>
          <w:u w:val="single"/>
        </w:rPr>
        <w:t>, není doporučeno užívat</w:t>
      </w:r>
      <w:r w:rsidRPr="00CD21E4">
        <w:rPr>
          <w:rFonts w:ascii="Verdana" w:hAnsi="Verdana" w:cstheme="minorHAnsi"/>
          <w:sz w:val="16"/>
          <w:szCs w:val="16"/>
          <w:u w:val="single"/>
        </w:rPr>
        <w:t>:</w:t>
      </w:r>
      <w:r>
        <w:rPr>
          <w:rFonts w:ascii="Verdana" w:hAnsi="Verdana" w:cstheme="minorHAnsi"/>
          <w:sz w:val="16"/>
          <w:szCs w:val="16"/>
          <w:u w:val="single"/>
        </w:rPr>
        <w:t xml:space="preserve"> </w:t>
      </w:r>
      <w:r w:rsidRPr="00D518EA">
        <w:rPr>
          <w:rFonts w:ascii="Verdana" w:hAnsi="Verdana" w:cstheme="minorHAnsi"/>
          <w:sz w:val="16"/>
          <w:szCs w:val="16"/>
        </w:rPr>
        <w:t xml:space="preserve">amitriptylin, </w:t>
      </w:r>
      <w:proofErr w:type="spellStart"/>
      <w:r w:rsidRPr="00D518EA">
        <w:rPr>
          <w:rFonts w:ascii="Verdana" w:hAnsi="Verdana" w:cstheme="minorHAnsi"/>
          <w:sz w:val="16"/>
          <w:szCs w:val="16"/>
        </w:rPr>
        <w:t>doxepin</w:t>
      </w:r>
      <w:proofErr w:type="spellEnd"/>
      <w:r>
        <w:rPr>
          <w:rFonts w:ascii="Verdana" w:hAnsi="Verdana" w:cstheme="minorHAnsi"/>
          <w:sz w:val="16"/>
          <w:szCs w:val="16"/>
        </w:rPr>
        <w:t>,</w:t>
      </w:r>
      <w:r w:rsidRPr="00D518EA">
        <w:rPr>
          <w:rFonts w:ascii="Verdana" w:hAnsi="Verdana" w:cstheme="minorHAnsi"/>
          <w:sz w:val="16"/>
          <w:szCs w:val="16"/>
        </w:rPr>
        <w:t xml:space="preserve"> </w:t>
      </w:r>
      <w:proofErr w:type="spellStart"/>
      <w:r w:rsidRPr="00D518EA">
        <w:rPr>
          <w:rFonts w:ascii="Verdana" w:hAnsi="Verdana" w:cstheme="minorHAnsi"/>
          <w:sz w:val="16"/>
          <w:szCs w:val="16"/>
        </w:rPr>
        <w:t>imipramin</w:t>
      </w:r>
      <w:proofErr w:type="spellEnd"/>
      <w:r>
        <w:rPr>
          <w:rFonts w:ascii="Verdana" w:hAnsi="Verdana" w:cstheme="minorHAnsi"/>
          <w:sz w:val="16"/>
          <w:szCs w:val="16"/>
        </w:rPr>
        <w:t xml:space="preserve">, </w:t>
      </w:r>
      <w:proofErr w:type="spellStart"/>
      <w:r w:rsidRPr="00D518EA">
        <w:rPr>
          <w:rFonts w:ascii="Verdana" w:hAnsi="Verdana" w:cstheme="minorHAnsi"/>
          <w:sz w:val="16"/>
          <w:szCs w:val="16"/>
        </w:rPr>
        <w:t>klomipramin</w:t>
      </w:r>
      <w:proofErr w:type="spellEnd"/>
      <w:r>
        <w:rPr>
          <w:rFonts w:ascii="Verdana" w:hAnsi="Verdana" w:cstheme="minorHAnsi"/>
          <w:sz w:val="16"/>
          <w:szCs w:val="16"/>
        </w:rPr>
        <w:t xml:space="preserve">, </w:t>
      </w:r>
      <w:proofErr w:type="spellStart"/>
      <w:r w:rsidRPr="00D518EA">
        <w:rPr>
          <w:rFonts w:ascii="Verdana" w:hAnsi="Verdana" w:cstheme="minorHAnsi"/>
          <w:sz w:val="16"/>
          <w:szCs w:val="16"/>
        </w:rPr>
        <w:t>nortryptyli</w:t>
      </w:r>
      <w:r>
        <w:rPr>
          <w:rFonts w:ascii="Verdana" w:hAnsi="Verdana" w:cstheme="minorHAnsi"/>
          <w:sz w:val="16"/>
          <w:szCs w:val="16"/>
        </w:rPr>
        <w:t>n</w:t>
      </w:r>
      <w:proofErr w:type="spellEnd"/>
      <w:r>
        <w:rPr>
          <w:rFonts w:ascii="Verdana" w:hAnsi="Verdana" w:cstheme="minorHAnsi"/>
          <w:sz w:val="16"/>
          <w:szCs w:val="16"/>
        </w:rPr>
        <w:t>.</w:t>
      </w:r>
    </w:p>
    <w:p w14:paraId="24C9E7CE" w14:textId="77777777" w:rsidR="003F0E06" w:rsidRPr="0007531A" w:rsidRDefault="003F0E06" w:rsidP="003F0E06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Léky v interně</w:t>
      </w:r>
    </w:p>
    <w:p w14:paraId="70CE7FEE" w14:textId="77263E9F" w:rsidR="003F0E06" w:rsidRDefault="003F0E06" w:rsidP="003F0E06">
      <w:pPr>
        <w:rPr>
          <w:rFonts w:ascii="Verdana" w:hAnsi="Verdana" w:cstheme="minorHAnsi"/>
          <w:sz w:val="16"/>
          <w:szCs w:val="16"/>
        </w:rPr>
      </w:pPr>
      <w:bookmarkStart w:id="3" w:name="_Hlk109121586"/>
      <w:bookmarkStart w:id="4" w:name="_Hlk109121313"/>
      <w:r w:rsidRPr="00CD21E4">
        <w:rPr>
          <w:rFonts w:ascii="Verdana" w:hAnsi="Verdana" w:cstheme="minorHAnsi"/>
          <w:sz w:val="16"/>
          <w:szCs w:val="16"/>
          <w:u w:val="single"/>
        </w:rPr>
        <w:t xml:space="preserve">Odbourávání léků </w:t>
      </w:r>
      <w:r w:rsidR="00840133">
        <w:rPr>
          <w:rFonts w:ascii="Verdana" w:hAnsi="Verdana" w:cstheme="minorHAnsi"/>
          <w:sz w:val="16"/>
          <w:szCs w:val="16"/>
          <w:u w:val="single"/>
        </w:rPr>
        <w:t>výrazně</w:t>
      </w:r>
      <w:r w:rsidR="00840133" w:rsidRPr="00CD21E4">
        <w:rPr>
          <w:rFonts w:ascii="Verdana" w:hAnsi="Verdana" w:cstheme="minorHAnsi"/>
          <w:sz w:val="16"/>
          <w:szCs w:val="16"/>
          <w:u w:val="single"/>
        </w:rPr>
        <w:t xml:space="preserve"> </w:t>
      </w:r>
      <w:r w:rsidRPr="00CD21E4">
        <w:rPr>
          <w:rFonts w:ascii="Verdana" w:hAnsi="Verdana" w:cstheme="minorHAnsi"/>
          <w:sz w:val="16"/>
          <w:szCs w:val="16"/>
          <w:u w:val="single"/>
        </w:rPr>
        <w:t>zpomaleno:</w:t>
      </w:r>
      <w:bookmarkEnd w:id="3"/>
      <w:r w:rsidRPr="00F070F4">
        <w:rPr>
          <w:rFonts w:ascii="Verdana" w:hAnsi="Verdana" w:cstheme="minorHAnsi"/>
          <w:sz w:val="16"/>
          <w:szCs w:val="16"/>
        </w:rPr>
        <w:t xml:space="preserve"> 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kanabidiol</w:t>
      </w:r>
      <w:proofErr w:type="spellEnd"/>
      <w:r w:rsidRPr="00F070F4">
        <w:rPr>
          <w:rFonts w:ascii="Verdana" w:hAnsi="Verdana" w:cstheme="minorHAnsi"/>
          <w:sz w:val="16"/>
          <w:szCs w:val="16"/>
        </w:rPr>
        <w:t>, (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dex</w:t>
      </w:r>
      <w:proofErr w:type="spellEnd"/>
      <w:r w:rsidRPr="00F070F4">
        <w:rPr>
          <w:rFonts w:ascii="Verdana" w:hAnsi="Verdana" w:cstheme="minorHAnsi"/>
          <w:sz w:val="16"/>
          <w:szCs w:val="16"/>
        </w:rPr>
        <w:t>)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lanzoprazol</w:t>
      </w:r>
      <w:proofErr w:type="spellEnd"/>
      <w:r w:rsidRPr="00F070F4">
        <w:rPr>
          <w:rFonts w:ascii="Verdana" w:hAnsi="Verdana" w:cstheme="minorHAnsi"/>
          <w:sz w:val="16"/>
          <w:szCs w:val="16"/>
        </w:rPr>
        <w:t xml:space="preserve">, 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omeprazol</w:t>
      </w:r>
      <w:proofErr w:type="spellEnd"/>
      <w:r w:rsidRPr="00F070F4">
        <w:rPr>
          <w:rFonts w:ascii="Verdana" w:hAnsi="Verdana" w:cstheme="minorHAnsi"/>
          <w:sz w:val="16"/>
          <w:szCs w:val="16"/>
        </w:rPr>
        <w:t xml:space="preserve">, 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pantoprazol</w:t>
      </w:r>
      <w:proofErr w:type="spellEnd"/>
      <w:r w:rsidRPr="00F070F4">
        <w:rPr>
          <w:rFonts w:ascii="Verdana" w:hAnsi="Verdana" w:cstheme="minorHAnsi"/>
          <w:sz w:val="16"/>
          <w:szCs w:val="16"/>
        </w:rPr>
        <w:t xml:space="preserve">, </w:t>
      </w:r>
      <w:proofErr w:type="spellStart"/>
      <w:r w:rsidRPr="00F070F4">
        <w:rPr>
          <w:rFonts w:ascii="Verdana" w:hAnsi="Verdana" w:cstheme="minorHAnsi"/>
          <w:sz w:val="16"/>
          <w:szCs w:val="16"/>
        </w:rPr>
        <w:t>vorikonazol</w:t>
      </w:r>
      <w:proofErr w:type="spellEnd"/>
      <w:r>
        <w:rPr>
          <w:rFonts w:ascii="Verdana" w:hAnsi="Verdana" w:cstheme="minorHAnsi"/>
          <w:sz w:val="16"/>
          <w:szCs w:val="16"/>
        </w:rPr>
        <w:t>.</w:t>
      </w:r>
      <w:r w:rsidRPr="00F070F4">
        <w:rPr>
          <w:rFonts w:ascii="Verdana" w:hAnsi="Verdana" w:cstheme="minorHAnsi"/>
          <w:sz w:val="16"/>
          <w:szCs w:val="16"/>
        </w:rPr>
        <w:t xml:space="preserve"> </w:t>
      </w:r>
    </w:p>
    <w:p w14:paraId="3D0ED335" w14:textId="517FAEB2" w:rsidR="003F0E06" w:rsidRPr="00CD21E4" w:rsidRDefault="003F0E06" w:rsidP="003F0E06">
      <w:pPr>
        <w:rPr>
          <w:rFonts w:ascii="Verdana" w:hAnsi="Verdana" w:cstheme="minorHAnsi"/>
          <w:sz w:val="16"/>
          <w:szCs w:val="16"/>
          <w:u w:val="single"/>
        </w:rPr>
      </w:pPr>
      <w:r w:rsidRPr="00CD21E4">
        <w:rPr>
          <w:rFonts w:ascii="Verdana" w:hAnsi="Verdana" w:cstheme="minorHAnsi"/>
          <w:sz w:val="16"/>
          <w:szCs w:val="16"/>
          <w:u w:val="single"/>
        </w:rPr>
        <w:t xml:space="preserve">Tvorba aktivní látky </w:t>
      </w:r>
      <w:r w:rsidR="00840133">
        <w:rPr>
          <w:rFonts w:ascii="Verdana" w:hAnsi="Verdana" w:cstheme="minorHAnsi"/>
          <w:sz w:val="16"/>
          <w:szCs w:val="16"/>
          <w:u w:val="single"/>
        </w:rPr>
        <w:t>výrazně</w:t>
      </w:r>
      <w:r w:rsidR="00840133" w:rsidRPr="00CD21E4">
        <w:rPr>
          <w:rFonts w:ascii="Verdana" w:hAnsi="Verdana" w:cstheme="minorHAnsi"/>
          <w:sz w:val="16"/>
          <w:szCs w:val="16"/>
          <w:u w:val="single"/>
        </w:rPr>
        <w:t xml:space="preserve"> </w:t>
      </w:r>
      <w:r w:rsidRPr="00CD21E4">
        <w:rPr>
          <w:rFonts w:ascii="Verdana" w:hAnsi="Verdana" w:cstheme="minorHAnsi"/>
          <w:sz w:val="16"/>
          <w:szCs w:val="16"/>
          <w:u w:val="single"/>
        </w:rPr>
        <w:t>zpomalena</w:t>
      </w:r>
      <w:r w:rsidR="00840133">
        <w:rPr>
          <w:rFonts w:ascii="Verdana" w:hAnsi="Verdana" w:cstheme="minorHAnsi"/>
          <w:sz w:val="16"/>
          <w:szCs w:val="16"/>
          <w:u w:val="single"/>
        </w:rPr>
        <w:t>, užití není doporučeno</w:t>
      </w:r>
      <w:r w:rsidRPr="00CD21E4">
        <w:rPr>
          <w:rFonts w:ascii="Verdana" w:hAnsi="Verdana" w:cstheme="minorHAnsi"/>
          <w:sz w:val="16"/>
          <w:szCs w:val="16"/>
          <w:u w:val="single"/>
        </w:rPr>
        <w:t>:</w:t>
      </w:r>
      <w:r>
        <w:rPr>
          <w:rFonts w:ascii="Verdana" w:hAnsi="Verdana" w:cstheme="minorHAnsi"/>
          <w:sz w:val="16"/>
          <w:szCs w:val="16"/>
          <w:u w:val="single"/>
        </w:rPr>
        <w:t xml:space="preserve"> </w:t>
      </w:r>
      <w:proofErr w:type="spellStart"/>
      <w:r w:rsidRPr="00CD21E4">
        <w:rPr>
          <w:rFonts w:ascii="Verdana" w:hAnsi="Verdana" w:cstheme="minorHAnsi"/>
          <w:sz w:val="16"/>
          <w:szCs w:val="16"/>
        </w:rPr>
        <w:t>klopidogrel</w:t>
      </w:r>
      <w:proofErr w:type="spellEnd"/>
      <w:r w:rsidRPr="00CD21E4">
        <w:rPr>
          <w:rFonts w:ascii="Verdana" w:hAnsi="Verdana" w:cstheme="minorHAnsi"/>
          <w:sz w:val="16"/>
          <w:szCs w:val="16"/>
        </w:rPr>
        <w:t>.</w:t>
      </w:r>
    </w:p>
    <w:bookmarkEnd w:id="4"/>
    <w:p w14:paraId="7B969540" w14:textId="77777777" w:rsidR="00687E4B" w:rsidRDefault="00687E4B" w:rsidP="00687E4B">
      <w:pPr>
        <w:spacing w:after="120"/>
        <w:rPr>
          <w:rFonts w:ascii="Verdana" w:hAnsi="Verdana" w:cstheme="minorHAnsi"/>
          <w:sz w:val="16"/>
          <w:szCs w:val="16"/>
        </w:rPr>
      </w:pPr>
    </w:p>
    <w:p w14:paraId="5AE8B228" w14:textId="77777777" w:rsidR="00687E4B" w:rsidRDefault="00687E4B" w:rsidP="00687E4B">
      <w:pPr>
        <w:pStyle w:val="Normlnweb"/>
        <w:spacing w:before="0" w:beforeAutospacing="0" w:after="120" w:afterAutospacing="0"/>
        <w:jc w:val="both"/>
        <w:rPr>
          <w:rFonts w:ascii="Verdana" w:hAnsi="Verdana" w:cstheme="minorHAnsi"/>
          <w:b/>
          <w:bCs/>
          <w:sz w:val="14"/>
          <w:szCs w:val="14"/>
        </w:rPr>
      </w:pPr>
      <w:bookmarkStart w:id="5" w:name="_Hlk97878899"/>
      <w:r>
        <w:rPr>
          <w:rFonts w:ascii="Verdana" w:hAnsi="Verdana" w:cstheme="minorHAnsi"/>
          <w:b/>
          <w:bCs/>
          <w:sz w:val="14"/>
          <w:szCs w:val="14"/>
        </w:rPr>
        <w:t>Pozn. Vliv lékových interakcí:</w:t>
      </w:r>
    </w:p>
    <w:p w14:paraId="2C0796C1" w14:textId="7E48ADC5" w:rsidR="00687E4B" w:rsidRDefault="00687E4B" w:rsidP="00687E4B">
      <w:pPr>
        <w:spacing w:after="12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Osoby s tímto genotypem by měly mít aktivitu </w:t>
      </w:r>
      <w:bookmarkStart w:id="6" w:name="_Hlk97879415"/>
      <w:r>
        <w:rPr>
          <w:rFonts w:ascii="Verdana" w:hAnsi="Verdana" w:cstheme="minorHAnsi"/>
          <w:sz w:val="14"/>
          <w:szCs w:val="14"/>
        </w:rPr>
        <w:t xml:space="preserve">izoenzymu </w:t>
      </w:r>
      <w:bookmarkEnd w:id="6"/>
      <w:r w:rsidRPr="00687E4B">
        <w:rPr>
          <w:rFonts w:ascii="Verdana" w:hAnsi="Verdana" w:cstheme="minorHAnsi"/>
          <w:sz w:val="14"/>
          <w:szCs w:val="14"/>
        </w:rPr>
        <w:t>CYP2D6 normální, ale tento stav je nejvíce náchylný ke změnám aktivity enzymů pomocí jiných léků</w:t>
      </w:r>
      <w:r>
        <w:rPr>
          <w:rFonts w:ascii="Verdana" w:hAnsi="Verdana" w:cstheme="minorHAnsi"/>
          <w:sz w:val="14"/>
          <w:szCs w:val="14"/>
        </w:rPr>
        <w:t xml:space="preserve">. </w:t>
      </w:r>
      <w:r>
        <w:rPr>
          <w:rFonts w:ascii="Verdana" w:hAnsi="Verdana" w:cstheme="minorHAnsi"/>
          <w:i/>
          <w:iCs/>
          <w:sz w:val="14"/>
          <w:szCs w:val="14"/>
        </w:rPr>
        <w:t>Více na ghcgenetics.cz/farmakogenetika</w:t>
      </w:r>
      <w:bookmarkEnd w:id="2"/>
      <w:bookmarkEnd w:id="5"/>
    </w:p>
    <w:p w14:paraId="656A4221" w14:textId="3877C78D" w:rsidR="00534E0D" w:rsidRPr="00687E4B" w:rsidRDefault="00534E0D" w:rsidP="002F4023">
      <w:pPr>
        <w:spacing w:after="120"/>
        <w:rPr>
          <w:rFonts w:ascii="Verdana" w:hAnsi="Verdana" w:cstheme="minorHAnsi"/>
          <w:sz w:val="16"/>
          <w:szCs w:val="16"/>
        </w:rPr>
      </w:pPr>
    </w:p>
    <w:sectPr w:rsidR="00534E0D" w:rsidRPr="0068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94"/>
    <w:rsid w:val="00170C36"/>
    <w:rsid w:val="001D2994"/>
    <w:rsid w:val="0022222A"/>
    <w:rsid w:val="0026220B"/>
    <w:rsid w:val="00284269"/>
    <w:rsid w:val="0029330F"/>
    <w:rsid w:val="002C4810"/>
    <w:rsid w:val="002F4023"/>
    <w:rsid w:val="00345208"/>
    <w:rsid w:val="00386938"/>
    <w:rsid w:val="003F0E06"/>
    <w:rsid w:val="00400A83"/>
    <w:rsid w:val="004261B5"/>
    <w:rsid w:val="00484E36"/>
    <w:rsid w:val="00534E0D"/>
    <w:rsid w:val="00596E49"/>
    <w:rsid w:val="00643AFF"/>
    <w:rsid w:val="00661C77"/>
    <w:rsid w:val="00687E4B"/>
    <w:rsid w:val="00840133"/>
    <w:rsid w:val="00A224BA"/>
    <w:rsid w:val="00B760C2"/>
    <w:rsid w:val="00BC7469"/>
    <w:rsid w:val="00E101E2"/>
    <w:rsid w:val="00F6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C6D8"/>
  <w15:chartTrackingRefBased/>
  <w15:docId w15:val="{263DA8B5-2603-4A20-B22D-8B44C4FE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9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2994"/>
    <w:rPr>
      <w:b/>
      <w:bCs/>
    </w:rPr>
  </w:style>
  <w:style w:type="paragraph" w:styleId="Normlnweb">
    <w:name w:val="Normal (Web)"/>
    <w:basedOn w:val="Normln"/>
    <w:uiPriority w:val="99"/>
    <w:unhideWhenUsed/>
    <w:rsid w:val="001D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F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Kavínová-Sládková</dc:creator>
  <cp:keywords/>
  <dc:description/>
  <cp:lastModifiedBy>Mikšík Michal</cp:lastModifiedBy>
  <cp:revision>4</cp:revision>
  <dcterms:created xsi:type="dcterms:W3CDTF">2024-03-20T12:27:00Z</dcterms:created>
  <dcterms:modified xsi:type="dcterms:W3CDTF">2024-03-20T12:27:00Z</dcterms:modified>
</cp:coreProperties>
</file>